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02 一页纸AI主帅法</w:t>
      </w:r>
    </w:p>
    <w:p>
      <w:r>
        <w:t>依据附录二简版任务卡  先写明确的内容，缺项标为待确认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7200"/>
      </w:tblGrid>
      <w:tr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我要完成的任务</w:t>
            </w:r>
          </w:p>
        </w:tc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点击此处输入</w:t>
            </w:r>
          </w:p>
        </w:tc>
      </w:tr>
    </w:tbl>
    <w:p>
      <w:pPr>
        <w:spacing w:after="2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7200"/>
      </w:tblGrid>
      <w:tr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使用对象</w:t>
            </w:r>
          </w:p>
        </w:tc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点击此处输入</w:t>
            </w:r>
          </w:p>
        </w:tc>
      </w:tr>
    </w:tbl>
    <w:p>
      <w:pPr>
        <w:spacing w:after="2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7200"/>
      </w:tblGrid>
      <w:tr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当前背景</w:t>
            </w:r>
          </w:p>
        </w:tc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点击此处输入</w:t>
            </w:r>
          </w:p>
        </w:tc>
      </w:tr>
    </w:tbl>
    <w:p>
      <w:pPr>
        <w:spacing w:after="2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7200"/>
      </w:tblGrid>
      <w:tr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已有输入材料</w:t>
            </w:r>
          </w:p>
        </w:tc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点击此处输入</w:t>
            </w:r>
          </w:p>
        </w:tc>
      </w:tr>
    </w:tbl>
    <w:p>
      <w:pPr>
        <w:spacing w:after="2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7200"/>
      </w:tblGrid>
      <w:tr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AI负责的部分</w:t>
            </w:r>
          </w:p>
        </w:tc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点击此处输入</w:t>
            </w:r>
          </w:p>
        </w:tc>
      </w:tr>
    </w:tbl>
    <w:p>
      <w:pPr>
        <w:spacing w:after="2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7200"/>
      </w:tblGrid>
      <w:tr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人必须判断的部分</w:t>
            </w:r>
          </w:p>
        </w:tc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点击此处输入</w:t>
            </w:r>
          </w:p>
        </w:tc>
      </w:tr>
    </w:tbl>
    <w:p>
      <w:pPr>
        <w:spacing w:after="2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7200"/>
      </w:tblGrid>
      <w:tr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输出形式</w:t>
            </w:r>
          </w:p>
        </w:tc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点击此处输入</w:t>
            </w:r>
          </w:p>
        </w:tc>
      </w:tr>
    </w:tbl>
    <w:p>
      <w:pPr>
        <w:spacing w:after="2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7200"/>
      </w:tblGrid>
      <w:tr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边界与禁区</w:t>
            </w:r>
          </w:p>
        </w:tc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点击此处输入</w:t>
            </w:r>
          </w:p>
        </w:tc>
      </w:tr>
    </w:tbl>
    <w:p>
      <w:pPr>
        <w:spacing w:after="2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7200"/>
      </w:tblGrid>
      <w:tr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验收标准</w:t>
            </w:r>
          </w:p>
        </w:tc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点击此处输入</w:t>
            </w:r>
          </w:p>
        </w:tc>
      </w:tr>
    </w:tbl>
    <w:p>
      <w:pPr>
        <w:spacing w:after="2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7200"/>
      </w:tblGrid>
      <w:tr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下一步动作</w:t>
            </w:r>
          </w:p>
        </w:tc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点击此处输入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Heading1"/>
      </w:pPr>
      <w:r>
        <w:t>02 任务卡填写示例与扩展</w:t>
      </w:r>
    </w:p>
    <w:p>
      <w:r>
        <w:t>依据第7章装备运输需求案例  以下字段填写为教学重构，不是原始项目记录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DF0"/>
          </w:tcPr>
          <w:p>
            <w:pPr>
              <w:spacing w:after="100" w:before="100"/>
            </w:pPr>
            <w:r>
              <w:rPr>
                <w:sz w:val="18"/>
              </w:rPr>
              <w:t>字段</w:t>
            </w:r>
          </w:p>
        </w:tc>
        <w:tc>
          <w:tcPr>
            <w:tcW w:type="dxa" w:w="82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DF0"/>
          </w:tcPr>
          <w:p>
            <w:pPr>
              <w:spacing w:after="100" w:before="100"/>
            </w:pPr>
            <w:r>
              <w:rPr>
                <w:sz w:val="18"/>
              </w:rPr>
              <w:t>示例</w:t>
            </w:r>
          </w:p>
        </w:tc>
      </w:tr>
      <w:tr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任务</w:t>
            </w:r>
          </w:p>
        </w:tc>
        <w:tc>
          <w:tcPr>
            <w:tcW w:type="dxa" w:w="82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把装备运输需求整理为可讨论的需求确认包。</w:t>
            </w:r>
          </w:p>
        </w:tc>
      </w:tr>
      <w:tr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对象与背景</w:t>
            </w:r>
          </w:p>
        </w:tc>
        <w:tc>
          <w:tcPr>
            <w:tcW w:type="dxa" w:w="82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项目负责人及客户；运输对象、配套物资、牵引条件需要澄清。</w:t>
            </w:r>
          </w:p>
        </w:tc>
      </w:tr>
      <w:tr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材料</w:t>
            </w:r>
          </w:p>
        </w:tc>
        <w:tc>
          <w:tcPr>
            <w:tcW w:type="dxa" w:w="82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客户明确提出的需求；未提供重量尺寸原件，不补写数值。</w:t>
            </w:r>
          </w:p>
        </w:tc>
      </w:tr>
      <w:tr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AI工作</w:t>
            </w:r>
          </w:p>
        </w:tc>
        <w:tc>
          <w:tcPr>
            <w:tcW w:type="dxa" w:w="82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归类需求、列出参数缺口、风险和下一步问题。</w:t>
            </w:r>
          </w:p>
        </w:tc>
      </w:tr>
      <w:tr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人的判断</w:t>
            </w:r>
          </w:p>
        </w:tc>
        <w:tc>
          <w:tcPr>
            <w:tcW w:type="dxa" w:w="82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核对现实条件，判断参数是否可写，确认阶段交付。</w:t>
            </w:r>
          </w:p>
        </w:tc>
      </w:tr>
      <w:tr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输出</w:t>
            </w:r>
          </w:p>
        </w:tc>
        <w:tc>
          <w:tcPr>
            <w:tcW w:type="dxa" w:w="82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需求表、风险表、待确认问题表、下一步动作表。</w:t>
            </w:r>
          </w:p>
        </w:tc>
      </w:tr>
      <w:tr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边界</w:t>
            </w:r>
          </w:p>
        </w:tc>
        <w:tc>
          <w:tcPr>
            <w:tcW w:type="dxa" w:w="82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不做最终结构定型，不将期望值写成承诺值。</w:t>
            </w:r>
          </w:p>
        </w:tc>
      </w:tr>
      <w:tr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验收</w:t>
            </w:r>
          </w:p>
        </w:tc>
        <w:tc>
          <w:tcPr>
            <w:tcW w:type="dxa" w:w="82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事实有来源、未知标注、下一步明确，不宣称产品已可使用。</w:t>
            </w:r>
          </w:p>
        </w:tc>
      </w:tr>
    </w:tbl>
    <w:p>
      <w:pPr>
        <w:pStyle w:val="Heading2"/>
      </w:pPr>
      <w:r>
        <w:t>复杂任务扩展区</w:t>
      </w:r>
    </w:p>
    <w:p>
      <w:r>
        <w:t>仅在简版不足时使用，不重复抄写。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7200"/>
      </w:tblGrid>
      <w:tr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目标 期限 重要性</w:t>
            </w:r>
          </w:p>
        </w:tc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点击此处输入</w:t>
            </w:r>
          </w:p>
        </w:tc>
      </w:tr>
    </w:tbl>
    <w:p>
      <w:pPr>
        <w:spacing w:after="2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7200"/>
      </w:tblGrid>
      <w:tr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输入材料 已确认事实 推测 缺项</w:t>
            </w:r>
          </w:p>
        </w:tc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点击此处输入</w:t>
            </w:r>
          </w:p>
        </w:tc>
      </w:tr>
    </w:tbl>
    <w:p>
      <w:pPr>
        <w:spacing w:after="2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7200"/>
      </w:tblGrid>
      <w:tr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实际需要的角色及交接产出</w:t>
            </w:r>
          </w:p>
        </w:tc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点击此处输入</w:t>
            </w:r>
          </w:p>
        </w:tc>
      </w:tr>
    </w:tbl>
    <w:p>
      <w:pPr>
        <w:spacing w:after="2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7200"/>
      </w:tblGrid>
      <w:tr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输出长度 语气 结构 必含与禁用内容</w:t>
            </w:r>
          </w:p>
        </w:tc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点击此处输入</w:t>
            </w:r>
          </w:p>
        </w:tc>
      </w:tr>
    </w:tbl>
    <w:p>
      <w:pPr>
        <w:spacing w:after="2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7200"/>
      </w:tblGrid>
      <w:tr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人工采用条件与未解决事项</w:t>
            </w:r>
          </w:p>
        </w:tc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点击此处输入</w:t>
            </w:r>
          </w:p>
        </w:tc>
      </w:tr>
    </w:tbl>
    <w:p>
      <w:pPr>
        <w:spacing w:after="20"/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待最终付印稿核对  ·  2026年10月23日                                 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t>驯服AI  读者工具包                                      V1.0-R1 审阅候选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80" w:lineRule="exact"/>
    </w:pPr>
    <w:rPr>
      <w:rFonts w:ascii="Source Han Sans SC" w:hAnsi="Source Han Sans SC" w:eastAsia="Source Han Sans SC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Source Han Sans SC" w:hAnsi="Source Han Sans SC" w:eastAsia="Source Han Sans SC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Source Han Sans SC" w:hAnsi="Source Han Sans SC" w:eastAsia="Source Han Sans SC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Source Han Sans SC" w:hAnsi="Source Han Sans SC" w:eastAsia="Source Han Sans SC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Source Han Sans SC" w:hAnsi="Source Han Sans SC" w:eastAsia="Source Han Sans SC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 w:line="264" w:lineRule="auto"/>
      <w:outlineLvl w:val="0"/>
    </w:pPr>
    <w:rPr>
      <w:rFonts w:cstheme="majorBidi" w:ascii="Source Han Sans SC" w:hAnsi="Source Han Sans SC" w:eastAsia="Source Han Sans SC"/>
      <w:b/>
      <w:bCs/>
      <w:color w:val="00000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 w:line="264" w:lineRule="auto"/>
      <w:outlineLvl w:val="1"/>
    </w:pPr>
    <w:rPr>
      <w:rFonts w:cstheme="majorBidi" w:ascii="Source Han Sans SC" w:hAnsi="Source Han Sans SC" w:eastAsia="Source Han Sans SC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theme="majorBidi" w:ascii="Source Han Sans SC" w:hAnsi="Source Han Sans SC" w:eastAsia="Source Han Sans SC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cstheme="majorBidi" w:ascii="Source Han Sans SC" w:hAnsi="Source Han Sans SC" w:eastAsia="Source Han Sans SC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cstheme="majorBidi" w:ascii="Source Han Sans SC" w:hAnsi="Source Han Sans SC" w:eastAsia="Source Han Sans SC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cstheme="majorBidi" w:ascii="Source Han Sans SC" w:hAnsi="Source Han Sans SC" w:eastAsia="Source Han Sans SC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cstheme="majorBidi" w:ascii="Source Han Sans SC" w:hAnsi="Source Han Sans SC" w:eastAsia="Source Han Sans SC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cstheme="majorBidi" w:ascii="Source Han Sans SC" w:hAnsi="Source Han Sans SC" w:eastAsia="Source Han Sans SC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cstheme="majorBidi" w:ascii="Source Han Sans SC" w:hAnsi="Source Han Sans SC" w:eastAsia="Source Han Sans SC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Source Han Sans SC" w:hAnsi="Source Han Sans SC" w:eastAsia="Source Han Sans SC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Source Han Sans SC" w:hAnsi="Source Han Sans SC" w:eastAsia="Source Han Sans SC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 w:ascii="Source Han Sans SC" w:hAnsi="Source Han Sans SC" w:eastAsia="Source Han Sans SC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cstheme="majorBidi" w:ascii="Source Han Sans SC" w:hAnsi="Source Han Sans SC" w:eastAsia="Source Han Sans SC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cstheme="majorBidi" w:ascii="Source Han Sans SC" w:hAnsi="Source Han Sans SC" w:eastAsia="Source Han Sans SC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64" w:lineRule="auto"/>
      <w:contextualSpacing/>
    </w:pPr>
    <w:rPr>
      <w:rFonts w:cstheme="majorBidi" w:ascii="Source Han Sans SC" w:hAnsi="Source Han Sans SC" w:eastAsia="Source Han Sans SC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 w:ascii="Source Han Sans SC" w:hAnsi="Source Han Sans SC" w:eastAsia="Source Han Sans SC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cstheme="majorBidi" w:ascii="Source Han Sans SC" w:hAnsi="Source Han Sans SC" w:eastAsia="Source Han Sans SC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cstheme="majorBidi" w:ascii="Source Han Sans SC" w:hAnsi="Source Han Sans SC" w:eastAsia="Source Han Sans SC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Source Han Sans SC" w:hAnsi="Source Han Sans SC" w:eastAsia="Source Han Sans SC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Source Han Sans SC" w:hAnsi="Source Han Sans SC" w:eastAsia="Source Han Sans SC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Source Han Sans SC" w:hAnsi="Source Han Sans SC" w:eastAsia="Source Han Sans SC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Source Han Sans SC" w:hAnsi="Source Han Sans SC" w:eastAsia="Source Han Sans SC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Source Han Sans SC" w:hAnsi="Source Han Sans SC" w:eastAsia="Source Han Sans SC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Source Han Sans SC" w:hAnsi="Source Han Sans SC" w:eastAsia="Source Han Sans SC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Source Han Sans SC" w:hAnsi="Source Han Sans SC" w:eastAsia="Source Han Sans SC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Source Han Sans SC" w:hAnsi="Source Han Sans SC" w:eastAsia="Source Han Sans SC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Source Han Sans SC" w:hAnsi="Source Han Sans SC" w:eastAsia="Source Han Sans SC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Source Han Sans SC" w:hAnsi="Source Han Sans SC" w:eastAsia="Source Han Sans SC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Source Han Sans SC" w:hAnsi="Source Han Sans SC" w:eastAsia="Source Han Sans SC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Source Han Sans SC" w:hAnsi="Source Han Sans SC" w:eastAsia="Source Han Sans SC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Source Han Sans SC" w:hAnsi="Source Han Sans SC" w:eastAsia="Source Han Sans SC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Source Han Sans SC" w:hAnsi="Source Han Sans SC" w:eastAsia="Source Han Sans SC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Source Han Sans SC" w:hAnsi="Source Han Sans SC" w:eastAsia="Source Han Sans SC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Source Han Sans SC" w:hAnsi="Source Han Sans SC" w:eastAsia="Source Han Sans SC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Source Han Sans SC" w:hAnsi="Source Han Sans SC" w:eastAsia="Source Han Sans SC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Source Han Sans SC" w:hAnsi="Source Han Sans SC" w:eastAsia="Source Han Sans SC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Source Han Sans SC" w:hAnsi="Source Han Sans SC" w:eastAsia="Source Han Sans SC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Source Han Sans SC" w:hAnsi="Source Han Sans SC" w:eastAsia="Source Han Sans SC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Source Han Sans SC" w:hAnsi="Source Han Sans SC" w:eastAsia="Source Han Sans SC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Source Han Sans SC" w:hAnsi="Source Han Sans SC" w:eastAsia="Source Han Sans SC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Source Han Sans SC" w:hAnsi="Source Han Sans SC" w:eastAsia="Source Han Sans SC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cstheme="majorBidi" w:ascii="Source Han Sans SC" w:hAnsi="Source Han Sans SC" w:eastAsia="Source Han Sans SC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cstheme="majorBidi" w:ascii="Source Han Sans SC" w:hAnsi="Source Han Sans SC" w:eastAsia="Source Han Sans SC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cstheme="majorBidi" w:ascii="Source Han Sans SC" w:hAnsi="Source Han Sans SC" w:eastAsia="Source Han Sans SC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cstheme="majorBidi" w:ascii="Source Han Sans SC" w:hAnsi="Source Han Sans SC" w:eastAsia="Source Han Sans SC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cstheme="majorBidi" w:ascii="Source Han Sans SC" w:hAnsi="Source Han Sans SC" w:eastAsia="Source Han Sans SC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cstheme="majorBidi" w:ascii="Source Han Sans SC" w:hAnsi="Source Han Sans SC" w:eastAsia="Source Han Sans SC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Source Han Sans SC" w:hAnsi="Source Han Sans SC" w:eastAsia="Source Han Sans SC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Source Han Sans SC" w:hAnsi="Source Han Sans SC" w:eastAsia="Source Han Sans SC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Source Han Sans SC" w:hAnsi="Source Han Sans SC" w:eastAsia="Source Han Sans SC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Source Han Sans SC" w:hAnsi="Source Han Sans SC" w:eastAsia="Source Han Sans SC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Source Han Sans SC" w:hAnsi="Source Han Sans SC" w:eastAsia="Source Han Sans SC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Source Han Sans SC" w:hAnsi="Source Han Sans SC" w:eastAsia="Source Han Sans SC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Source Han Sans SC" w:hAnsi="Source Han Sans SC" w:eastAsia="Source Han Sans SC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Source Han Sans SC" w:hAnsi="Source Han Sans SC" w:eastAsia="Source Han Sans SC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Source Han Sans SC" w:hAnsi="Source Han Sans SC" w:eastAsia="Source Han Sans SC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Source Han Sans SC" w:hAnsi="Source Han Sans SC" w:eastAsia="Source Han Sans SC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Source Han Sans SC" w:hAnsi="Source Han Sans SC" w:eastAsia="Source Han Sans SC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