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03 作战指令五要素模板</w:t>
      </w:r>
    </w:p>
    <w:p>
      <w:r>
        <w:t>依据附录三  可直接填写后复制到AI对话中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目标 这次要拿到什么结果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对象 谁看或谁用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背景 已有材料 事实及待确认信息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约束 不能写 不能做 不能承诺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验收 合格标准及最终判断人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r>
        <w:t>请先不要直接生成最终结果。先复述你理解的任务，并指出缺失信息；确认任务清楚后，再拆解执行步骤。</w:t>
      </w:r>
    </w:p>
    <w:p>
      <w:pPr>
        <w:pStyle w:val="Heading2"/>
      </w:pPr>
      <w:r>
        <w:t>可选角色卡</w:t>
      </w:r>
    </w:p>
    <w:p>
      <w:r>
        <w:t>角色：</w:t>
      </w:r>
      <w:sdt>
        <w:sdtPr>
          <w:id w:val="1001"/>
          <w:text w:multiLine="1"/>
        </w:sdtPr>
        <w:sdtContent>
          <w:r>
            <w:t>[点击填写]</w:t>
          </w:r>
        </w:sdtContent>
      </w:sdt>
      <w:r>
        <w:t xml:space="preserve"> 负责：</w:t>
      </w:r>
      <w:sdt>
        <w:sdtPr>
          <w:id w:val="1002"/>
          <w:text w:multiLine="1"/>
        </w:sdtPr>
        <w:sdtContent>
          <w:r>
            <w:t>[点击填写]</w:t>
          </w:r>
        </w:sdtContent>
      </w:sdt>
      <w:r>
        <w:t xml:space="preserve"> 不负责：</w:t>
      </w:r>
      <w:sdt>
        <w:sdtPr>
          <w:id w:val="1003"/>
          <w:text w:multiLine="1"/>
        </w:sdtPr>
        <w:sdtContent>
          <w:r>
            <w:t>[点击填写]</w:t>
          </w:r>
        </w:sdtContent>
      </w:sdt>
    </w:p>
    <w:p>
      <w:r>
        <w:t>本轮输入版本：</w:t>
      </w:r>
      <w:sdt>
        <w:sdtPr>
          <w:id w:val="1004"/>
          <w:text w:multiLine="1"/>
        </w:sdtPr>
        <w:sdtContent>
          <w:r>
            <w:t>[点击填写]</w:t>
          </w:r>
        </w:sdtContent>
      </w:sdt>
      <w:r>
        <w:t xml:space="preserve"> 本轮交付：</w:t>
      </w:r>
      <w:sdt>
        <w:sdtPr>
          <w:id w:val="1005"/>
          <w:text w:multiLine="1"/>
        </w:sdtPr>
        <w:sdtContent>
          <w:r>
            <w:t>[点击填写]</w:t>
          </w:r>
        </w:sdtContent>
      </w:sdt>
    </w:p>
    <w:p>
      <w:r>
        <w:br w:type="page"/>
      </w:r>
    </w:p>
    <w:p>
      <w:pPr>
        <w:pStyle w:val="Heading1"/>
      </w:pPr>
      <w:r>
        <w:t>03 完整指令示例</w:t>
      </w:r>
    </w:p>
    <w:p>
      <w:r>
        <w:t>教学重构  以第7章需求确认案例为背景，示范如何保持阶段边界</w:t>
      </w:r>
    </w:p>
    <w:p>
      <w:r>
        <w:t>我现在要完成一个任务。</w:t>
        <w:br/>
        <w:t>目标：整理一份装备运输需求确认包，供判断能否进入方案深化。</w:t>
        <w:br/>
        <w:t>对象：客户与项目负责人。</w:t>
        <w:br/>
        <w:t>背景：客户希望运输现场装备和配套物资，最好使用现有车辆牵引，兼顾载重、操作和成本。我会提供已有需求材料；重量、尺寸和牵引条件未核实时，请标为待确认。</w:t>
        <w:br/>
        <w:t>约束：只整理需求、参数、约束和待验证事项；不做结构定型，不推定安全合格，不把客户期望写成产品承诺。</w:t>
        <w:br/>
        <w:t>验收：输出需求表、风险表、待确认问题表和下一步动作表；区分材料事实与设计判断，由项目负责人核对并决定是否采用。</w:t>
        <w:br/>
        <w:t>请先复述任务，列出缺失信息。未收到我确认前，不补写参数或生成最终设计。</w:t>
      </w:r>
    </w:p>
    <w:p>
      <w:pPr>
        <w:pStyle w:val="Heading2"/>
      </w:pPr>
      <w:r>
        <w:t>使用后的检查</w:t>
      </w:r>
    </w:p>
    <w:p>
      <w:r>
        <w:t>AI是否改变了目标？是否遗漏约束？是否自行补入事实？先纠正任务理解，再继续。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我发现的误解或缺项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我补充或确认的内容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p>
      <w:pPr>
        <w:pStyle w:val="Heading2"/>
      </w:pPr>
      <w:r>
        <w:t>交接记录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采用的材料与版本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7200"/>
      </w:tblGrid>
      <w:tr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已确认结论和仍未确认的问题</w:t>
            </w:r>
          </w:p>
        </w:tc>
        <w:tc>
          <w:tcPr>
            <w:tcW w:type="dxa" w:w="50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00" w:after="100"/>
            </w:pPr>
            <w:r>
              <w:t>点击此处输入</w:t>
            </w:r>
          </w:p>
        </w:tc>
      </w:tr>
    </w:tbl>
    <w:p>
      <w:pPr>
        <w:spacing w:after="2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待最终付印稿核对  ·  2026年10月23日                                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驯服AI  读者工具包                                      V1.0-R1 审阅候选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0" w:lineRule="exact"/>
    </w:pPr>
    <w:rPr>
      <w:rFonts w:ascii="Source Han Sans SC" w:hAnsi="Source Han Sans SC" w:eastAsia="Source Han Sans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Source Han Sans SC" w:hAnsi="Source Han Sans SC" w:eastAsia="Source Han Sans SC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 w:line="264" w:lineRule="auto"/>
      <w:outlineLvl w:val="0"/>
    </w:pPr>
    <w:rPr>
      <w:rFonts w:cstheme="majorBidi" w:ascii="Source Han Sans SC" w:hAnsi="Source Han Sans SC" w:eastAsia="Source Han Sans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 w:line="264" w:lineRule="auto"/>
      <w:outlineLvl w:val="1"/>
    </w:pPr>
    <w:rPr>
      <w:rFonts w:cstheme="majorBidi" w:ascii="Source Han Sans SC" w:hAnsi="Source Han Sans SC" w:eastAsia="Source Han Sans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 w:ascii="Source Han Sans SC" w:hAnsi="Source Han Sans SC" w:eastAsia="Source Han Sans SC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 w:ascii="Source Han Sans SC" w:hAnsi="Source Han Sans SC" w:eastAsia="Source Han Sans SC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 w:ascii="Source Han Sans SC" w:hAnsi="Source Han Sans SC" w:eastAsia="Source Han Sans SC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 w:ascii="Source Han Sans SC" w:hAnsi="Source Han Sans SC" w:eastAsia="Source Han Sans SC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 w:ascii="Source Han Sans SC" w:hAnsi="Source Han Sans SC" w:eastAsia="Source Han Sans SC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Source Han Sans SC" w:hAnsi="Source Han Sans SC" w:eastAsia="Source Han Sans SC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Source Han Sans SC" w:hAnsi="Source Han Sans SC" w:eastAsia="Source Han Sans SC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 w:ascii="Source Han Sans SC" w:hAnsi="Source Han Sans SC" w:eastAsia="Source Han Sans SC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 w:ascii="Source Han Sans SC" w:hAnsi="Source Han Sans SC" w:eastAsia="Source Han Sans SC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64" w:lineRule="auto"/>
      <w:contextualSpacing/>
    </w:pPr>
    <w:rPr>
      <w:rFonts w:cstheme="majorBidi" w:ascii="Source Han Sans SC" w:hAnsi="Source Han Sans SC" w:eastAsia="Source Han Sans SC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 w:ascii="Source Han Sans SC" w:hAnsi="Source Han Sans SC" w:eastAsia="Source Han Sans SC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 w:ascii="Source Han Sans SC" w:hAnsi="Source Han Sans SC" w:eastAsia="Source Han Sans SC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Source Han Sans SC" w:hAnsi="Source Han Sans SC" w:eastAsia="Source Han Sans SC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Source Han Sans SC" w:hAnsi="Source Han Sans SC" w:eastAsia="Source Han Sans SC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Source Han Sans SC" w:hAnsi="Source Han Sans SC" w:eastAsia="Source Han Sans SC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Source Han Sans SC" w:hAnsi="Source Han Sans SC" w:eastAsia="Source Han Sans SC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Source Han Sans SC" w:hAnsi="Source Han Sans SC" w:eastAsia="Source Han Sans SC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Source Han Sans SC" w:hAnsi="Source Han Sans SC" w:eastAsia="Source Han Sans SC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Source Han Sans SC" w:hAnsi="Source Han Sans SC" w:eastAsia="Source Han Sans SC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Source Han Sans SC" w:hAnsi="Source Han Sans SC" w:eastAsia="Source Han Sans SC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Source Han Sans SC" w:hAnsi="Source Han Sans SC" w:eastAsia="Source Han Sans SC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Source Han Sans SC" w:hAnsi="Source Han Sans SC" w:eastAsia="Source Han Sans SC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Source Han Sans SC" w:hAnsi="Source Han Sans SC" w:eastAsia="Source Han Sans SC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Source Han Sans SC" w:hAnsi="Source Han Sans SC" w:eastAsia="Source Han Sans SC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 w:ascii="Source Han Sans SC" w:hAnsi="Source Han Sans SC" w:eastAsia="Source Han Sans SC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 w:ascii="Source Han Sans SC" w:hAnsi="Source Han Sans SC" w:eastAsia="Source Han Sans SC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 w:ascii="Source Han Sans SC" w:hAnsi="Source Han Sans SC" w:eastAsia="Source Han Sans SC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 w:ascii="Source Han Sans SC" w:hAnsi="Source Han Sans SC" w:eastAsia="Source Han Sans SC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Source Han Sans SC" w:hAnsi="Source Han Sans SC" w:eastAsia="Source Han Sans SC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Source Han Sans SC" w:hAnsi="Source Han Sans SC" w:eastAsia="Source Han Sans SC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Source Han Sans SC" w:hAnsi="Source Han Sans SC" w:eastAsia="Source Han Sans SC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Source Han Sans SC" w:hAnsi="Source Han Sans SC" w:eastAsia="Source Han Sans SC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Source Han Sans SC" w:hAnsi="Source Han Sans SC" w:eastAsia="Source Han Sans SC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Source Han Sans SC" w:hAnsi="Source Han Sans SC" w:eastAsia="Source Han Sans SC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Source Han Sans SC" w:hAnsi="Source Han Sans SC" w:eastAsia="Source Han Sans SC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Source Han Sans SC" w:hAnsi="Source Han Sans SC" w:eastAsia="Source Han Sans SC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Source Han Sans SC" w:hAnsi="Source Han Sans SC" w:eastAsia="Source Han Sans SC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