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05 结果回执模板</w:t>
      </w:r>
    </w:p>
    <w:p>
      <w:r>
        <w:t>依据附录五简版  补充版本与人工决定字段便于数字材料使用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任务名称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最终输出及版本或文件位置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是否达标及对应验收依据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未达标原因或待解决事项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人工决定 采用 修改 补证或停止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下一步动作 负责人及回看时间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实际反馈 未收到则注明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可沉淀经验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p>
      <w:r>
        <w:t>一次任务的回执与长期工作流分开。复杂任务需要时再增加任务起止时间、AI角色、输出用途、详细复盘。</w:t>
      </w:r>
    </w:p>
    <w:p>
      <w:r>
        <w:br w:type="page"/>
      </w:r>
    </w:p>
    <w:p>
      <w:pPr>
        <w:pStyle w:val="Heading1"/>
      </w:pPr>
      <w:r>
        <w:t>05 完整案例与回执示例</w:t>
      </w:r>
    </w:p>
    <w:p>
      <w:r>
        <w:t>书稿事实摘要来自第7章后续修订稿  指令和表格为教学重构</w:t>
      </w:r>
    </w:p>
    <w:p>
      <w:pPr>
        <w:pStyle w:val="Heading2"/>
      </w:pPr>
      <w:r>
        <w:t>交代任务</w:t>
      </w:r>
    </w:p>
    <w:p>
      <w:r>
        <w:t>客户提出装备运输需求，希望能用现有车辆牵引，兼顾载重、操作和成本。</w:t>
      </w:r>
    </w:p>
    <w:p>
      <w:pPr>
        <w:pStyle w:val="Heading2"/>
      </w:pPr>
      <w:r>
        <w:t>发现问题</w:t>
      </w:r>
    </w:p>
    <w:p>
      <w:r>
        <w:t>AI初稿像产品介绍，运输对象、重量尺寸、牵引与装卸条件仍不清楚。</w:t>
      </w:r>
    </w:p>
    <w:p>
      <w:pPr>
        <w:pStyle w:val="Heading2"/>
      </w:pPr>
      <w:r>
        <w:t>收窄任务</w:t>
      </w:r>
    </w:p>
    <w:p>
      <w:r>
        <w:t>负责人暂停生成，区分客户需求、基础参数、风险和阶段交付，改为需求确认包。</w:t>
      </w:r>
    </w:p>
    <w:p>
      <w:pPr>
        <w:pStyle w:val="Heading2"/>
      </w:pPr>
      <w:r>
        <w:t>AI参与</w:t>
      </w:r>
    </w:p>
    <w:p>
      <w:r>
        <w:t>整理追问清单及需求、风险、待确认和下一步动作；检查需求与判断是否混淆。</w:t>
      </w:r>
    </w:p>
    <w:p>
      <w:pPr>
        <w:pStyle w:val="Heading2"/>
      </w:pPr>
      <w:r>
        <w:t>人工修改</w:t>
      </w:r>
    </w:p>
    <w:p>
      <w:r>
        <w:t>书稿记载负责人删除“满足多场景需求”“安全可靠”“可快速部署”等缺少证据支持的表述，保留后续验证项。</w:t>
      </w:r>
    </w:p>
    <w:p>
      <w:pPr>
        <w:pStyle w:val="Heading2"/>
      </w:pPr>
      <w:r>
        <w:t>阶段结果</w:t>
      </w:r>
    </w:p>
    <w:p>
      <w:r>
        <w:t>形成可进入下一轮讨论的需求确认清单和第一版产品方案。未证明产品定型、生产或投入使用。</w:t>
      </w:r>
    </w:p>
    <w:p>
      <w:pPr>
        <w:pStyle w:val="Heading2"/>
      </w:pPr>
      <w:r>
        <w:t>回执示例</w:t>
      </w:r>
    </w:p>
    <w:p>
      <w:r>
        <w:t>最终输出：需求确认清单及第一版方案（书稿未附原文件版本号）。</w:t>
        <w:br/>
        <w:t>验收依据：阶段边界明确，参数与能力仍需专业验证。</w:t>
        <w:br/>
        <w:t>人工决定：书稿说明负责人核对并修改；具体签认人、时间和原始回执未提供。</w:t>
        <w:br/>
        <w:t>下一步：核实参数及专业验证条件。实际客户反馈：本轮材料未提供。</w:t>
        <w:br/>
        <w:t>可复用经验：先整理缺项，再形成阶段方案，不把需求期望当作能力承诺。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待最终付印稿核对  ·  2026年10月23日                               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驯服AI  读者工具包                                      V1.0-R1 审阅候选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80" w:lineRule="exact"/>
    </w:pPr>
    <w:rPr>
      <w:rFonts w:ascii="Source Han Sans SC" w:hAnsi="Source Han Sans SC" w:eastAsia="Source Han Sans SC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ource Han Sans SC" w:hAnsi="Source Han Sans SC" w:eastAsia="Source Han Sans SC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Source Han Sans SC" w:hAnsi="Source Han Sans SC" w:eastAsia="Source Han Sans SC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ource Han Sans SC" w:hAnsi="Source Han Sans SC" w:eastAsia="Source Han Sans SC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Source Han Sans SC" w:hAnsi="Source Han Sans SC" w:eastAsia="Source Han Sans SC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 w:line="264" w:lineRule="auto"/>
      <w:outlineLvl w:val="0"/>
    </w:pPr>
    <w:rPr>
      <w:rFonts w:cstheme="majorBidi" w:ascii="Source Han Sans SC" w:hAnsi="Source Han Sans SC" w:eastAsia="Source Han Sans SC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 w:line="264" w:lineRule="auto"/>
      <w:outlineLvl w:val="1"/>
    </w:pPr>
    <w:rPr>
      <w:rFonts w:cstheme="majorBidi" w:ascii="Source Han Sans SC" w:hAnsi="Source Han Sans SC" w:eastAsia="Source Han Sans SC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 w:ascii="Source Han Sans SC" w:hAnsi="Source Han Sans SC" w:eastAsia="Source Han Sans SC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 w:ascii="Source Han Sans SC" w:hAnsi="Source Han Sans SC" w:eastAsia="Source Han Sans SC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 w:ascii="Source Han Sans SC" w:hAnsi="Source Han Sans SC" w:eastAsia="Source Han Sans SC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 w:ascii="Source Han Sans SC" w:hAnsi="Source Han Sans SC" w:eastAsia="Source Han Sans SC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 w:ascii="Source Han Sans SC" w:hAnsi="Source Han Sans SC" w:eastAsia="Source Han Sans SC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 w:ascii="Source Han Sans SC" w:hAnsi="Source Han Sans SC" w:eastAsia="Source Han Sans SC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 w:ascii="Source Han Sans SC" w:hAnsi="Source Han Sans SC" w:eastAsia="Source Han Sans SC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Source Han Sans SC" w:hAnsi="Source Han Sans SC" w:eastAsia="Source Han Sans SC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Source Han Sans SC" w:hAnsi="Source Han Sans SC" w:eastAsia="Source Han Sans SC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 w:ascii="Source Han Sans SC" w:hAnsi="Source Han Sans SC" w:eastAsia="Source Han Sans SC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 w:ascii="Source Han Sans SC" w:hAnsi="Source Han Sans SC" w:eastAsia="Source Han Sans SC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 w:ascii="Source Han Sans SC" w:hAnsi="Source Han Sans SC" w:eastAsia="Source Han Sans SC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64" w:lineRule="auto"/>
      <w:contextualSpacing/>
    </w:pPr>
    <w:rPr>
      <w:rFonts w:cstheme="majorBidi" w:ascii="Source Han Sans SC" w:hAnsi="Source Han Sans SC" w:eastAsia="Source Han Sans SC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 w:ascii="Source Han Sans SC" w:hAnsi="Source Han Sans SC" w:eastAsia="Source Han Sans SC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cstheme="majorBidi" w:ascii="Source Han Sans SC" w:hAnsi="Source Han Sans SC" w:eastAsia="Source Han Sans SC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 w:ascii="Source Han Sans SC" w:hAnsi="Source Han Sans SC" w:eastAsia="Source Han Sans SC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Source Han Sans SC" w:hAnsi="Source Han Sans SC" w:eastAsia="Source Han Sans SC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Source Han Sans SC" w:hAnsi="Source Han Sans SC" w:eastAsia="Source Han Sans SC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Source Han Sans SC" w:hAnsi="Source Han Sans SC" w:eastAsia="Source Han Sans SC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Source Han Sans SC" w:hAnsi="Source Han Sans SC" w:eastAsia="Source Han Sans SC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Source Han Sans SC" w:hAnsi="Source Han Sans SC" w:eastAsia="Source Han Sans SC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Source Han Sans SC" w:hAnsi="Source Han Sans SC" w:eastAsia="Source Han Sans SC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Source Han Sans SC" w:hAnsi="Source Han Sans SC" w:eastAsia="Source Han Sans SC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Source Han Sans SC" w:hAnsi="Source Han Sans SC" w:eastAsia="Source Han Sans SC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Source Han Sans SC" w:hAnsi="Source Han Sans SC" w:eastAsia="Source Han Sans SC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Source Han Sans SC" w:hAnsi="Source Han Sans SC" w:eastAsia="Source Han Sans SC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Source Han Sans SC" w:hAnsi="Source Han Sans SC" w:eastAsia="Source Han Sans SC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Source Han Sans SC" w:hAnsi="Source Han Sans SC" w:eastAsia="Source Han Sans SC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Source Han Sans SC" w:hAnsi="Source Han Sans SC" w:eastAsia="Source Han Sans SC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Source Han Sans SC" w:hAnsi="Source Han Sans SC" w:eastAsia="Source Han Sans SC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Source Han Sans SC" w:hAnsi="Source Han Sans SC" w:eastAsia="Source Han Sans SC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Source Han Sans SC" w:hAnsi="Source Han Sans SC" w:eastAsia="Source Han Sans SC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Source Han Sans SC" w:hAnsi="Source Han Sans SC" w:eastAsia="Source Han Sans SC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Source Han Sans SC" w:hAnsi="Source Han Sans SC" w:eastAsia="Source Han Sans SC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Source Han Sans SC" w:hAnsi="Source Han Sans SC" w:eastAsia="Source Han Sans SC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Source Han Sans SC" w:hAnsi="Source Han Sans SC" w:eastAsia="Source Han Sans SC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Source Han Sans SC" w:hAnsi="Source Han Sans SC" w:eastAsia="Source Han Sans SC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Source Han Sans SC" w:hAnsi="Source Han Sans SC" w:eastAsia="Source Han Sans SC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Source Han Sans SC" w:hAnsi="Source Han Sans SC" w:eastAsia="Source Han Sans SC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 w:ascii="Source Han Sans SC" w:hAnsi="Source Han Sans SC" w:eastAsia="Source Han Sans SC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 w:ascii="Source Han Sans SC" w:hAnsi="Source Han Sans SC" w:eastAsia="Source Han Sans SC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 w:ascii="Source Han Sans SC" w:hAnsi="Source Han Sans SC" w:eastAsia="Source Han Sans SC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 w:ascii="Source Han Sans SC" w:hAnsi="Source Han Sans SC" w:eastAsia="Source Han Sans SC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 w:ascii="Source Han Sans SC" w:hAnsi="Source Han Sans SC" w:eastAsia="Source Han Sans SC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 w:ascii="Source Han Sans SC" w:hAnsi="Source Han Sans SC" w:eastAsia="Source Han Sans SC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Source Han Sans SC" w:hAnsi="Source Han Sans SC" w:eastAsia="Source Han Sans SC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Source Han Sans SC" w:hAnsi="Source Han Sans SC" w:eastAsia="Source Han Sans SC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Source Han Sans SC" w:hAnsi="Source Han Sans SC" w:eastAsia="Source Han Sans SC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Source Han Sans SC" w:hAnsi="Source Han Sans SC" w:eastAsia="Source Han Sans SC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Source Han Sans SC" w:hAnsi="Source Han Sans SC" w:eastAsia="Source Han Sans SC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Source Han Sans SC" w:hAnsi="Source Han Sans SC" w:eastAsia="Source Han Sans SC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Source Han Sans SC" w:hAnsi="Source Han Sans SC" w:eastAsia="Source Han Sans SC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Source Han Sans SC" w:hAnsi="Source Han Sans SC" w:eastAsia="Source Han Sans SC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Source Han Sans SC" w:hAnsi="Source Han Sans SC" w:eastAsia="Source Han Sans SC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Source Han Sans SC" w:hAnsi="Source Han Sans SC" w:eastAsia="Source Han Sans SC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Source Han Sans SC" w:hAnsi="Source Han Sans SC" w:eastAsia="Source Han Sans SC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