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附表 AI成事流程总览表</w:t>
      </w:r>
    </w:p>
    <w:p>
      <w:r>
        <w:t>依据书稿附表整理  各步可往返，不是必须一次走完的自动流程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环节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核心动作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应留下的产出</w:t>
            </w:r>
          </w:p>
        </w:tc>
      </w:tr>
      <w:t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定义任务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澄清目标 材料 真实问题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明确任务入口</w:t>
            </w:r>
          </w:p>
        </w:tc>
      </w:tr>
      <w:t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拆解结构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拆模块 步骤 边界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可执行结构</w:t>
            </w:r>
          </w:p>
        </w:tc>
      </w:tr>
      <w:t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调度AI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按环节安排角色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可检查输出</w:t>
            </w:r>
          </w:p>
        </w:tc>
      </w:tr>
      <w:t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人类判断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确认方向 边界 取舍 责任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现实校准与人的决定</w:t>
            </w:r>
          </w:p>
        </w:tc>
      </w:tr>
      <w:t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验收沉淀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检查 采用 交付 记录反馈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可复用模板或流程</w:t>
            </w:r>
          </w:p>
        </w:tc>
      </w:tr>
    </w:tbl>
    <w:p>
      <w:pPr>
        <w:pStyle w:val="Heading2"/>
      </w:pPr>
      <w:r>
        <w:t>怎样使用</w:t>
      </w:r>
    </w:p>
    <w:p>
      <w:r>
        <w:t>先找到任务当前所在环节，再看是否留下对应产出。此表用于参照，不另建一套重复记录。</w:t>
      </w:r>
    </w:p>
    <w:p>
      <w:pPr>
        <w:pStyle w:val="Heading2"/>
      </w:pPr>
      <w:r>
        <w:t>示例定位</w:t>
      </w:r>
    </w:p>
    <w:p>
      <w:r>
        <w:t>装备运输案例停在需求确认与第一版方案，下一步需专业验证，不能将该阶段标成产品已投入使用。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我的任务当前在哪一步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已有产出的位置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缺少的依据或确认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下一步动作与负责人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待最终付印稿核对  ·  2026年10月23日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驯服AI  读者工具包                                      V1.0-R1 审阅候选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0" w:lineRule="exact"/>
    </w:pPr>
    <w:rPr>
      <w:rFonts w:ascii="Source Han Sans SC" w:hAnsi="Source Han Sans SC" w:eastAsia="Source Han Sans S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64" w:lineRule="auto"/>
      <w:outlineLvl w:val="0"/>
    </w:pPr>
    <w:rPr>
      <w:rFonts w:cstheme="majorBidi" w:ascii="Source Han Sans SC" w:hAnsi="Source Han Sans SC" w:eastAsia="Source Han Sans S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64" w:lineRule="auto"/>
      <w:outlineLvl w:val="1"/>
    </w:pPr>
    <w:rPr>
      <w:rFonts w:cstheme="majorBidi" w:ascii="Source Han Sans SC" w:hAnsi="Source Han Sans SC" w:eastAsia="Source Han Sans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Source Han Sans SC" w:hAnsi="Source Han Sans SC" w:eastAsia="Source Han Sans SC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Source Han Sans SC" w:hAnsi="Source Han Sans SC" w:eastAsia="Source Han Sans SC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Source Han Sans SC" w:hAnsi="Source Han Sans SC" w:eastAsia="Source Han Sans SC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Source Han Sans SC" w:hAnsi="Source Han Sans SC" w:eastAsia="Source Han Sans SC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Source Han Sans SC" w:hAnsi="Source Han Sans SC" w:eastAsia="Source Han Sans SC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 w:ascii="Source Han Sans SC" w:hAnsi="Source Han Sans SC" w:eastAsia="Source Han Sans SC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64" w:lineRule="auto"/>
      <w:contextualSpacing/>
    </w:pPr>
    <w:rPr>
      <w:rFonts w:cstheme="majorBidi" w:ascii="Source Han Sans SC" w:hAnsi="Source Han Sans SC" w:eastAsia="Source Han Sans SC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 w:ascii="Source Han Sans SC" w:hAnsi="Source Han Sans SC" w:eastAsia="Source Han Sans SC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Source Han Sans SC" w:hAnsi="Source Han Sans SC" w:eastAsia="Source Han Sans SC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Source Han Sans SC" w:hAnsi="Source Han Sans SC" w:eastAsia="Source Han Sans SC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Source Han Sans SC" w:hAnsi="Source Han Sans SC" w:eastAsia="Source Han Sans SC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Source Han Sans SC" w:hAnsi="Source Han Sans SC" w:eastAsia="Source Han Sans SC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Source Han Sans SC" w:hAnsi="Source Han Sans SC" w:eastAsia="Source Han Sans SC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Source Han Sans SC" w:hAnsi="Source Han Sans SC" w:eastAsia="Source Han Sans SC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 w:ascii="Source Han Sans SC" w:hAnsi="Source Han Sans SC" w:eastAsia="Source Han Sans SC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 w:ascii="Source Han Sans SC" w:hAnsi="Source Han Sans SC" w:eastAsia="Source Han Sans SC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 w:ascii="Source Han Sans SC" w:hAnsi="Source Han Sans SC" w:eastAsia="Source Han Sans SC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Han Sans SC" w:hAnsi="Source Han Sans SC" w:eastAsia="Source Han Sans SC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Source Han Sans SC" w:hAnsi="Source Han Sans SC" w:eastAsia="Source Han Sans SC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Source Han Sans SC" w:hAnsi="Source Han Sans SC" w:eastAsia="Source Han Sans SC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Source Han Sans SC" w:hAnsi="Source Han Sans SC" w:eastAsia="Source Han Sans SC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Source Han Sans SC" w:hAnsi="Source Han Sans SC" w:eastAsia="Source Han Sans SC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Source Han Sans SC" w:hAnsi="Source Han Sans SC" w:eastAsia="Source Han Sans SC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